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FFB5" w14:textId="4A9AB810" w:rsidR="003E4EB9" w:rsidRPr="006430B7" w:rsidRDefault="007D4DAF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  <w:r>
        <w:rPr>
          <w:rFonts w:eastAsia="Calibri" w:cs="Calibri"/>
          <w:b/>
          <w:color w:val="000000"/>
          <w:lang w:eastAsia="pl-PL"/>
        </w:rPr>
        <w:t>ZASADY POSTĘPOWANIA</w:t>
      </w:r>
    </w:p>
    <w:p w14:paraId="5B22A49C" w14:textId="77777777" w:rsidR="003E4EB9" w:rsidRPr="006430B7" w:rsidRDefault="003E4EB9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</w:p>
    <w:p w14:paraId="03F3B30C" w14:textId="77777777" w:rsidR="007D4DAF" w:rsidRDefault="007D4DAF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u w:val="single"/>
          <w:lang w:eastAsia="pl-PL"/>
        </w:rPr>
      </w:pPr>
    </w:p>
    <w:p w14:paraId="5B11D70D" w14:textId="5EC9EF71" w:rsidR="003E4EB9" w:rsidRPr="006430B7" w:rsidRDefault="003E4EB9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6430B7">
        <w:rPr>
          <w:rFonts w:eastAsia="Times New Roman" w:cs="Times New Roman"/>
          <w:b/>
          <w:color w:val="000000" w:themeColor="text1"/>
          <w:u w:val="single"/>
          <w:lang w:eastAsia="pl-PL"/>
        </w:rPr>
        <w:t>Przedmiot zamówienia:</w:t>
      </w:r>
      <w:r w:rsidRPr="006430B7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5673FA84" w14:textId="77777777" w:rsidR="003E4EB9" w:rsidRPr="006430B7" w:rsidRDefault="003E4EB9" w:rsidP="003E4EB9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pl-PL"/>
        </w:rPr>
      </w:pPr>
    </w:p>
    <w:p w14:paraId="3A5E9044" w14:textId="4A522F12" w:rsidR="003E4EB9" w:rsidRPr="006430B7" w:rsidRDefault="007D4DAF" w:rsidP="007D4DAF">
      <w:pPr>
        <w:spacing w:after="0" w:line="360" w:lineRule="auto"/>
        <w:jc w:val="both"/>
        <w:rPr>
          <w:rFonts w:eastAsia="Times New Roman" w:cs="MS Reference Sans Serif"/>
          <w:b/>
          <w:color w:val="000000"/>
          <w:shd w:val="clear" w:color="auto" w:fill="FFFFFF"/>
        </w:rPr>
      </w:pPr>
      <w:r>
        <w:rPr>
          <w:rFonts w:eastAsia="Times New Roman" w:cs="MS Reference Sans Serif"/>
          <w:b/>
          <w:color w:val="000000"/>
          <w:shd w:val="clear" w:color="auto" w:fill="FFFFFF"/>
        </w:rPr>
        <w:t>„</w:t>
      </w:r>
      <w:r w:rsidR="003E4EB9" w:rsidRPr="006430B7">
        <w:rPr>
          <w:rFonts w:eastAsia="Times New Roman" w:cs="MS Reference Sans Serif"/>
          <w:b/>
          <w:color w:val="000000"/>
          <w:shd w:val="clear" w:color="auto" w:fill="FFFFFF"/>
        </w:rPr>
        <w:t>Dostawa mieszanki mineralno-bitumicznej do remontów na „zimno” dla GDDKiA Oddział w Łodzi Rejon</w:t>
      </w:r>
      <w:r>
        <w:rPr>
          <w:rFonts w:eastAsia="Times New Roman" w:cs="MS Reference Sans Serif"/>
          <w:b/>
          <w:color w:val="000000"/>
          <w:shd w:val="clear" w:color="auto" w:fill="FFFFFF"/>
        </w:rPr>
        <w:t xml:space="preserve"> </w:t>
      </w:r>
      <w:r w:rsidR="003E4EB9" w:rsidRPr="006430B7">
        <w:rPr>
          <w:rFonts w:eastAsia="Times New Roman" w:cs="MS Reference Sans Serif"/>
          <w:b/>
          <w:color w:val="000000"/>
          <w:shd w:val="clear" w:color="auto" w:fill="FFFFFF"/>
        </w:rPr>
        <w:t xml:space="preserve">w </w:t>
      </w:r>
      <w:r w:rsidR="003E4EB9">
        <w:rPr>
          <w:rFonts w:eastAsia="Times New Roman" w:cs="MS Reference Sans Serif"/>
          <w:b/>
          <w:color w:val="000000"/>
          <w:shd w:val="clear" w:color="auto" w:fill="FFFFFF"/>
        </w:rPr>
        <w:t>Opocznie</w:t>
      </w:r>
      <w:r>
        <w:rPr>
          <w:rFonts w:eastAsia="Times New Roman" w:cs="MS Reference Sans Serif"/>
          <w:b/>
          <w:color w:val="000000"/>
          <w:shd w:val="clear" w:color="auto" w:fill="FFFFFF"/>
        </w:rPr>
        <w:t>”</w:t>
      </w:r>
    </w:p>
    <w:p w14:paraId="58D15346" w14:textId="77777777" w:rsidR="003E4EB9" w:rsidRPr="006430B7" w:rsidRDefault="003E4EB9" w:rsidP="003E4EB9">
      <w:pPr>
        <w:spacing w:after="0" w:line="240" w:lineRule="auto"/>
        <w:jc w:val="both"/>
        <w:rPr>
          <w:rFonts w:cstheme="minorBidi"/>
          <w:b/>
          <w:iCs/>
        </w:rPr>
      </w:pPr>
    </w:p>
    <w:p w14:paraId="717484B6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zastrzega sobie prawo do unieważnienia ogłoszenia bez podania przyczyny.</w:t>
      </w:r>
    </w:p>
    <w:p w14:paraId="1E14239E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Wykonawca może zwrócić się do Zamawiającego o wyjaśnienie treści ogłoszenia, jednak nie później niż 3 dni od ukazania się ogłoszenia, kierując wniosek na adres: </w:t>
      </w:r>
    </w:p>
    <w:p w14:paraId="05A734A7" w14:textId="77777777" w:rsidR="003E4EB9" w:rsidRPr="006430B7" w:rsidRDefault="003E4EB9" w:rsidP="003E4EB9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Generalna Dyrekcja Dróg Krajowych i Autostrad Oddział w Łodzi,</w:t>
      </w:r>
    </w:p>
    <w:p w14:paraId="7A9B8C62" w14:textId="7F44F90D" w:rsidR="003E4EB9" w:rsidRPr="006430B7" w:rsidRDefault="003E4EB9" w:rsidP="00A46D00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Rejon  w </w:t>
      </w:r>
      <w:r>
        <w:rPr>
          <w:rFonts w:eastAsia="Calibri" w:cs="Calibri"/>
          <w:color w:val="000000"/>
          <w:lang w:eastAsia="pl-PL"/>
        </w:rPr>
        <w:t>Opocznie</w:t>
      </w:r>
      <w:r w:rsidRPr="006430B7">
        <w:rPr>
          <w:rFonts w:eastAsia="Calibri" w:cs="Calibri"/>
          <w:color w:val="000000"/>
          <w:lang w:eastAsia="pl-PL"/>
        </w:rPr>
        <w:t xml:space="preserve">, </w:t>
      </w:r>
      <w:r>
        <w:rPr>
          <w:rFonts w:eastAsia="Calibri" w:cs="Calibri"/>
          <w:color w:val="000000"/>
          <w:lang w:eastAsia="pl-PL"/>
        </w:rPr>
        <w:t>26-300 Opoczno</w:t>
      </w:r>
      <w:r w:rsidRPr="006430B7">
        <w:rPr>
          <w:rFonts w:eastAsia="Calibri" w:cs="Calibri"/>
          <w:color w:val="000000"/>
          <w:lang w:eastAsia="pl-PL"/>
        </w:rPr>
        <w:t xml:space="preserve">, ul. </w:t>
      </w:r>
      <w:r>
        <w:rPr>
          <w:rFonts w:eastAsia="Calibri" w:cs="Calibri"/>
          <w:color w:val="000000"/>
          <w:lang w:eastAsia="pl-PL"/>
        </w:rPr>
        <w:t>Zakątna 6</w:t>
      </w:r>
      <w:r w:rsidR="00A46D00">
        <w:rPr>
          <w:rFonts w:eastAsia="Calibri" w:cs="Calibri"/>
          <w:color w:val="000000"/>
          <w:lang w:eastAsia="pl-PL"/>
        </w:rPr>
        <w:t xml:space="preserve"> </w:t>
      </w:r>
      <w:r w:rsidRPr="006430B7">
        <w:rPr>
          <w:rFonts w:eastAsia="Calibri" w:cs="Calibri"/>
          <w:color w:val="000000"/>
          <w:lang w:eastAsia="pl-PL"/>
        </w:rPr>
        <w:t xml:space="preserve">bądź drogą elektroniczną na adres: </w:t>
      </w:r>
      <w:r w:rsidR="007D4DAF">
        <w:rPr>
          <w:rFonts w:eastAsia="Calibri" w:cs="Calibri"/>
          <w:color w:val="000000"/>
          <w:lang w:eastAsia="pl-PL"/>
        </w:rPr>
        <w:t>egasiorek</w:t>
      </w:r>
      <w:r w:rsidRPr="006430B7">
        <w:rPr>
          <w:rFonts w:eastAsia="Calibri" w:cs="Calibri"/>
          <w:color w:val="000000"/>
          <w:lang w:eastAsia="pl-PL"/>
        </w:rPr>
        <w:t>@gddkia.gov.pl</w:t>
      </w:r>
    </w:p>
    <w:p w14:paraId="3C6581C4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odrzuci ofertę Wykonawcy, w szczególności jeżeli:</w:t>
      </w:r>
    </w:p>
    <w:p w14:paraId="1D3000EA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Wykonawca złożył więcej, niż jedną ofertę;</w:t>
      </w:r>
    </w:p>
    <w:p w14:paraId="559FDA23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</w:t>
      </w:r>
      <w:r w:rsidR="00A46D00">
        <w:rPr>
          <w:rFonts w:eastAsia="Calibri" w:cs="Calibri"/>
          <w:color w:val="000000"/>
          <w:lang w:eastAsia="pl-PL"/>
        </w:rPr>
        <w:t>wca nie złożył Formularza Ofertowego</w:t>
      </w:r>
      <w:r w:rsidRPr="006430B7">
        <w:rPr>
          <w:rFonts w:eastAsia="Calibri" w:cs="Calibri"/>
          <w:color w:val="000000"/>
          <w:lang w:eastAsia="pl-PL"/>
        </w:rPr>
        <w:t xml:space="preserve"> i Formularza </w:t>
      </w:r>
      <w:r w:rsidR="00A46D00">
        <w:rPr>
          <w:rFonts w:eastAsia="Calibri" w:cs="Calibri"/>
          <w:color w:val="000000"/>
          <w:lang w:eastAsia="pl-PL"/>
        </w:rPr>
        <w:t>C</w:t>
      </w:r>
      <w:r w:rsidRPr="006430B7">
        <w:rPr>
          <w:rFonts w:eastAsia="Calibri" w:cs="Calibri"/>
          <w:color w:val="000000"/>
          <w:lang w:eastAsia="pl-PL"/>
        </w:rPr>
        <w:t xml:space="preserve">enowego; </w:t>
      </w:r>
    </w:p>
    <w:p w14:paraId="70805557" w14:textId="77777777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Oferta zawiera rażąco niską cenę w stosunku do przedmiotu zamówienia                                    lub w przypadku braku przedstawienia przez Wykonawcę dostatecznych wyjaśnień potwierdzających, że cena oferty zapewnia realizację zamówienia;</w:t>
      </w:r>
    </w:p>
    <w:p w14:paraId="0656E8A4" w14:textId="2C57EE29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Oferta zawiera błędy w obliczeniu ceny i nie można ich poprawić zgodnie </w:t>
      </w:r>
      <w:r w:rsidR="00A02797">
        <w:rPr>
          <w:rFonts w:eastAsia="Calibri" w:cs="Calibri"/>
          <w:color w:val="000000"/>
          <w:lang w:eastAsia="pl-PL"/>
        </w:rPr>
        <w:t xml:space="preserve">                </w:t>
      </w:r>
      <w:r w:rsidRPr="006430B7">
        <w:rPr>
          <w:rFonts w:eastAsia="Calibri" w:cs="Calibri"/>
          <w:color w:val="000000"/>
          <w:lang w:eastAsia="pl-PL"/>
        </w:rPr>
        <w:t>z zasadami określonymi w pkt 5</w:t>
      </w:r>
      <w:r w:rsidR="007D4DAF">
        <w:rPr>
          <w:rFonts w:eastAsia="Calibri" w:cs="Calibri"/>
          <w:color w:val="000000"/>
          <w:lang w:eastAsia="pl-PL"/>
        </w:rPr>
        <w:t>.</w:t>
      </w:r>
    </w:p>
    <w:p w14:paraId="4F277CC5" w14:textId="2569EC38" w:rsidR="003E4EB9" w:rsidRPr="006430B7" w:rsidRDefault="007D4DAF" w:rsidP="007D4DAF">
      <w:pPr>
        <w:spacing w:after="0" w:line="260" w:lineRule="atLeast"/>
        <w:ind w:left="1134" w:right="4252" w:hanging="567"/>
        <w:jc w:val="both"/>
        <w:rPr>
          <w:rFonts w:eastAsia="Calibri" w:cs="Calibri"/>
          <w:color w:val="000000"/>
          <w:lang w:eastAsia="pl-PL"/>
        </w:rPr>
      </w:pPr>
      <w:r>
        <w:rPr>
          <w:rFonts w:eastAsia="Calibri" w:cs="Calibri"/>
          <w:color w:val="000000"/>
          <w:lang w:eastAsia="pl-PL"/>
        </w:rPr>
        <w:t xml:space="preserve">  </w:t>
      </w:r>
      <w:r w:rsidR="003E4EB9" w:rsidRPr="006430B7">
        <w:rPr>
          <w:rFonts w:eastAsia="Calibri" w:cs="Calibri"/>
          <w:color w:val="000000"/>
          <w:lang w:eastAsia="pl-PL"/>
        </w:rPr>
        <w:t xml:space="preserve">5) </w:t>
      </w:r>
      <w:r>
        <w:rPr>
          <w:rFonts w:eastAsia="Calibri" w:cs="Calibri"/>
          <w:color w:val="000000"/>
          <w:lang w:eastAsia="pl-PL"/>
        </w:rPr>
        <w:t xml:space="preserve">       </w:t>
      </w:r>
      <w:r w:rsidR="003E4EB9" w:rsidRPr="006430B7">
        <w:rPr>
          <w:rFonts w:eastAsia="Calibri" w:cs="Calibri"/>
          <w:color w:val="000000"/>
          <w:lang w:eastAsia="pl-PL"/>
        </w:rPr>
        <w:t>Oferta została złożona po</w:t>
      </w:r>
      <w:r>
        <w:rPr>
          <w:rFonts w:eastAsia="Calibri" w:cs="Calibri"/>
          <w:color w:val="000000"/>
          <w:lang w:eastAsia="pl-PL"/>
        </w:rPr>
        <w:t xml:space="preserve"> </w:t>
      </w:r>
      <w:r w:rsidR="003E4EB9" w:rsidRPr="006430B7">
        <w:rPr>
          <w:rFonts w:eastAsia="Calibri" w:cs="Calibri"/>
          <w:color w:val="000000"/>
          <w:lang w:eastAsia="pl-PL"/>
        </w:rPr>
        <w:t>terminie.</w:t>
      </w:r>
    </w:p>
    <w:p w14:paraId="16D6478C" w14:textId="2CA2B9BA" w:rsidR="003E4EB9" w:rsidRPr="007D4DAF" w:rsidRDefault="003E4EB9" w:rsidP="007D4DAF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 przypadku wpłynięcia do Zamawiającego ofert z jednakową najniższą ceną,</w:t>
      </w:r>
      <w:r w:rsidR="007D4DAF">
        <w:rPr>
          <w:rFonts w:eastAsia="Calibri" w:cs="Calibri"/>
          <w:color w:val="000000"/>
          <w:lang w:eastAsia="pl-PL"/>
        </w:rPr>
        <w:t xml:space="preserve"> </w:t>
      </w:r>
      <w:r w:rsidRPr="007D4DAF">
        <w:rPr>
          <w:rFonts w:eastAsia="Calibri" w:cs="Calibri"/>
          <w:color w:val="000000"/>
          <w:lang w:eastAsia="pl-PL"/>
        </w:rPr>
        <w:t>Wykonawcy zostaną wezwani do złożenia ofert dodatkowych (oferta dodatkowa nie może mieć ceny wyższej niż wcześniej zaoferowana).</w:t>
      </w:r>
    </w:p>
    <w:p w14:paraId="35838566" w14:textId="79BBE065" w:rsidR="003E4EB9" w:rsidRPr="006430B7" w:rsidRDefault="003E4EB9" w:rsidP="003E4EB9">
      <w:pPr>
        <w:tabs>
          <w:tab w:val="left" w:pos="284"/>
        </w:tabs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5.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</w:t>
      </w:r>
      <w:r w:rsidRPr="006430B7">
        <w:rPr>
          <w:rFonts w:eastAsia="Calibri" w:cs="Times New Roman"/>
          <w:color w:val="000000" w:themeColor="text1"/>
        </w:rPr>
        <w:t xml:space="preserve">Cena oferty powinna obejmować całkowity koszt wykonania przedmiotu zamówienia, w tym również wszelkie koszty towarzyszące wykonaniu. </w:t>
      </w:r>
    </w:p>
    <w:p w14:paraId="52809DCE" w14:textId="77777777" w:rsidR="007D4DAF" w:rsidRDefault="003E4EB9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6.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 </w:t>
      </w:r>
      <w:r w:rsidRPr="006430B7">
        <w:rPr>
          <w:rFonts w:eastAsia="Calibri" w:cs="Times New Roman"/>
          <w:color w:val="000000" w:themeColor="text1"/>
        </w:rPr>
        <w:t>Cena oferty winna być wyrażona w złotych polskich (zł) z dokładnością do dwóch miejsc po przecinku.</w:t>
      </w:r>
    </w:p>
    <w:p w14:paraId="7A15E7CA" w14:textId="74DB4046" w:rsidR="003E4EB9" w:rsidRPr="007D4DAF" w:rsidRDefault="007D4DAF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>
        <w:rPr>
          <w:rFonts w:eastAsia="Calibri" w:cs="Calibri"/>
          <w:color w:val="000000"/>
          <w:lang w:eastAsia="pl-PL"/>
        </w:rPr>
        <w:t xml:space="preserve">7.   </w:t>
      </w:r>
      <w:r w:rsidR="003E4EB9" w:rsidRPr="006430B7">
        <w:rPr>
          <w:rFonts w:eastAsia="Calibri" w:cs="Calibri"/>
          <w:color w:val="000000"/>
          <w:lang w:eastAsia="pl-PL"/>
        </w:rPr>
        <w:t>Zamawiający poprawi w ofercie:</w:t>
      </w:r>
    </w:p>
    <w:p w14:paraId="356A3AED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pisarskie,</w:t>
      </w:r>
    </w:p>
    <w:p w14:paraId="47636A64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4BF5656E" w14:textId="013FDE8E" w:rsidR="003E4EB9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Times New Roman" w:cstheme="minorBidi"/>
          <w:color w:val="000000" w:themeColor="text1"/>
          <w:lang w:eastAsia="pl-PL"/>
        </w:rPr>
        <w:t>Każda poprawka w treści oferty (</w:t>
      </w:r>
      <w:r w:rsidRPr="007D4DAF">
        <w:rPr>
          <w:rFonts w:cstheme="minorBidi"/>
        </w:rPr>
        <w:t>formularzu ofertowym i formularzu cenowym)</w:t>
      </w:r>
      <w:r w:rsidRPr="007D4DAF">
        <w:rPr>
          <w:rFonts w:eastAsia="Times New Roman" w:cstheme="minorBidi"/>
          <w:color w:val="000000" w:themeColor="text1"/>
          <w:lang w:eastAsia="pl-PL"/>
        </w:rPr>
        <w:t>,                                 a w szczególności każde przerobienie, przekreślenie, uzupełnienie, nadpisanie, itd. powinno być parafowane przez Wykonawcę,  w przeciwnym razie nie będzie uwzględnione.</w:t>
      </w:r>
    </w:p>
    <w:p w14:paraId="20410468" w14:textId="0F7C7D9B" w:rsidR="003E4EB9" w:rsidRPr="00A02797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Calibri" w:cs="Calibri"/>
          <w:color w:val="000000"/>
          <w:lang w:eastAsia="pl-PL"/>
        </w:rPr>
        <w:t>Zamawiający może wezwać Wykonawców we wskazanym terminie do wyjaśnienia treści oferty.</w:t>
      </w:r>
    </w:p>
    <w:p w14:paraId="7952BC48" w14:textId="49374388" w:rsidR="003E4EB9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Zbadania czy cena danej oferty nie jest rażąco niska (obowiązek wykazania, że oferta nie zawiera rażąco niskiej ceny spoczywa na </w:t>
      </w:r>
      <w:r w:rsidR="00A46D00" w:rsidRPr="00A02797">
        <w:rPr>
          <w:rFonts w:eastAsia="Calibri" w:cs="Calibri"/>
          <w:color w:val="000000"/>
          <w:lang w:eastAsia="pl-PL"/>
        </w:rPr>
        <w:t>W</w:t>
      </w:r>
      <w:r w:rsidRPr="00A02797">
        <w:rPr>
          <w:rFonts w:eastAsia="Calibri" w:cs="Calibri"/>
          <w:color w:val="000000"/>
          <w:lang w:eastAsia="pl-PL"/>
        </w:rPr>
        <w:t>ykonawcy).</w:t>
      </w:r>
    </w:p>
    <w:p w14:paraId="71ACE7AE" w14:textId="2BA58279" w:rsidR="007D4DAF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W przypadku gdy Wykonawca, którego oferta została wybrana, uchyli się od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  <w:r w:rsidRPr="00A02797">
        <w:rPr>
          <w:rFonts w:eastAsia="Calibri" w:cs="Calibri"/>
          <w:color w:val="000000"/>
          <w:lang w:eastAsia="pl-PL"/>
        </w:rPr>
        <w:t xml:space="preserve">podpisania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</w:p>
    <w:p w14:paraId="760E0054" w14:textId="6A95034F" w:rsidR="003E4EB9" w:rsidRPr="006430B7" w:rsidRDefault="003E4EB9" w:rsidP="007D4DAF">
      <w:pPr>
        <w:spacing w:after="0" w:line="260" w:lineRule="atLeast"/>
        <w:ind w:left="364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umowy Zamawiający wybierze ofertę najkorzystniejszą spośród pozostałych złożonych ofert.</w:t>
      </w:r>
    </w:p>
    <w:p w14:paraId="122F7F32" w14:textId="77777777" w:rsidR="003E4EB9" w:rsidRPr="006430B7" w:rsidRDefault="003E4EB9" w:rsidP="003E4EB9">
      <w:pPr>
        <w:spacing w:after="0" w:line="260" w:lineRule="atLeast"/>
        <w:ind w:left="284" w:right="19"/>
        <w:jc w:val="both"/>
        <w:rPr>
          <w:rFonts w:eastAsia="Calibri" w:cs="Calibri"/>
          <w:color w:val="000000"/>
          <w:lang w:eastAsia="pl-PL"/>
        </w:rPr>
      </w:pPr>
    </w:p>
    <w:p w14:paraId="1673732C" w14:textId="77777777" w:rsidR="00A02797" w:rsidRDefault="00A02797" w:rsidP="00A02797">
      <w:pPr>
        <w:spacing w:after="0" w:line="360" w:lineRule="auto"/>
        <w:rPr>
          <w:rFonts w:cstheme="minorBidi"/>
        </w:rPr>
      </w:pPr>
    </w:p>
    <w:p w14:paraId="432F4B33" w14:textId="2146142F" w:rsidR="003E4EB9" w:rsidRPr="00A02797" w:rsidRDefault="00A02797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 xml:space="preserve">  </w:t>
      </w:r>
      <w:r w:rsidR="003E4EB9" w:rsidRPr="00A02797">
        <w:rPr>
          <w:rFonts w:cstheme="minorBidi"/>
        </w:rPr>
        <w:t xml:space="preserve">Sporządziła: </w:t>
      </w:r>
    </w:p>
    <w:p w14:paraId="17DD09B7" w14:textId="26FAE315" w:rsidR="007D4DAF" w:rsidRPr="00A02797" w:rsidRDefault="007D4DAF" w:rsidP="00A02797">
      <w:pPr>
        <w:spacing w:after="0" w:line="360" w:lineRule="auto"/>
        <w:rPr>
          <w:rFonts w:cstheme="minorBidi"/>
        </w:rPr>
      </w:pPr>
      <w:r w:rsidRPr="00A02797">
        <w:rPr>
          <w:rFonts w:cstheme="minorBidi"/>
        </w:rPr>
        <w:t xml:space="preserve">Edyta Gąsiorek </w:t>
      </w:r>
    </w:p>
    <w:p w14:paraId="0864B98C" w14:textId="77777777" w:rsidR="003E4EB9" w:rsidRDefault="003E4EB9" w:rsidP="003E4EB9"/>
    <w:sectPr w:rsidR="003E4EB9" w:rsidSect="00A027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3F5"/>
    <w:multiLevelType w:val="hybridMultilevel"/>
    <w:tmpl w:val="4446863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9"/>
    <w:rsid w:val="003E4EB9"/>
    <w:rsid w:val="00421EC4"/>
    <w:rsid w:val="00604221"/>
    <w:rsid w:val="007D4DAF"/>
    <w:rsid w:val="00A02797"/>
    <w:rsid w:val="00A46D00"/>
    <w:rsid w:val="00E46520"/>
    <w:rsid w:val="00E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8940"/>
  <w15:chartTrackingRefBased/>
  <w15:docId w15:val="{C09B8B47-EAAC-4C9F-993E-8F8C5E63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B9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Gąsiorek Edyta</cp:lastModifiedBy>
  <cp:revision>3</cp:revision>
  <dcterms:created xsi:type="dcterms:W3CDTF">2024-03-22T11:43:00Z</dcterms:created>
  <dcterms:modified xsi:type="dcterms:W3CDTF">2024-04-29T09:42:00Z</dcterms:modified>
</cp:coreProperties>
</file>